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F0" w:rsidRPr="00392F1C" w:rsidRDefault="00C07CF0" w:rsidP="00392F1C">
      <w:pPr>
        <w:spacing w:before="90" w:after="0" w:line="324" w:lineRule="atLeast"/>
        <w:jc w:val="center"/>
        <w:outlineLvl w:val="3"/>
        <w:rPr>
          <w:rFonts w:ascii="Times" w:eastAsia="Times New Roman" w:hAnsi="Times" w:cs="Times"/>
          <w:b/>
          <w:iCs/>
          <w:color w:val="0BB3D0"/>
          <w:sz w:val="36"/>
          <w:szCs w:val="23"/>
          <w:u w:val="single"/>
        </w:rPr>
      </w:pPr>
      <w:r w:rsidRPr="00392F1C">
        <w:rPr>
          <w:rFonts w:ascii="Times" w:eastAsia="Times New Roman" w:hAnsi="Times" w:cs="Times"/>
          <w:b/>
          <w:iCs/>
          <w:color w:val="0BB3D0"/>
          <w:sz w:val="36"/>
          <w:szCs w:val="23"/>
          <w:u w:val="single"/>
        </w:rPr>
        <w:t>Chicago Style:  Bibl</w:t>
      </w:r>
      <w:r w:rsidR="00392F1C" w:rsidRPr="00392F1C">
        <w:rPr>
          <w:rFonts w:ascii="Times" w:eastAsia="Times New Roman" w:hAnsi="Times" w:cs="Times"/>
          <w:b/>
          <w:iCs/>
          <w:color w:val="0BB3D0"/>
          <w:sz w:val="36"/>
          <w:szCs w:val="23"/>
          <w:u w:val="single"/>
        </w:rPr>
        <w:t>iography and Endnotes</w:t>
      </w:r>
    </w:p>
    <w:p w:rsidR="00392F1C" w:rsidRPr="00392F1C" w:rsidRDefault="00392F1C" w:rsidP="00392F1C">
      <w:pPr>
        <w:spacing w:before="90" w:after="0" w:line="324" w:lineRule="atLeast"/>
        <w:jc w:val="center"/>
        <w:outlineLvl w:val="3"/>
        <w:rPr>
          <w:rFonts w:ascii="Arial" w:eastAsia="Times New Roman" w:hAnsi="Arial" w:cs="Arial"/>
          <w:b/>
          <w:iCs/>
          <w:color w:val="000000" w:themeColor="text1"/>
          <w:sz w:val="36"/>
          <w:szCs w:val="23"/>
          <w:u w:val="single"/>
        </w:rPr>
      </w:pPr>
      <w:r w:rsidRPr="00392F1C">
        <w:rPr>
          <w:rFonts w:ascii="Arial" w:eastAsia="Times New Roman" w:hAnsi="Arial" w:cs="Arial"/>
          <w:b/>
          <w:iCs/>
          <w:color w:val="000000" w:themeColor="text1"/>
          <w:sz w:val="36"/>
          <w:szCs w:val="23"/>
          <w:u w:val="single"/>
        </w:rPr>
        <w:t>http://www.bibme.org/</w:t>
      </w:r>
    </w:p>
    <w:p w:rsidR="00F71E59" w:rsidRPr="00F71E59" w:rsidRDefault="00F71E59" w:rsidP="00F71E59">
      <w:pPr>
        <w:spacing w:before="90" w:after="0" w:line="324" w:lineRule="atLeast"/>
        <w:outlineLvl w:val="3"/>
        <w:rPr>
          <w:rFonts w:ascii="Times" w:eastAsia="Times New Roman" w:hAnsi="Times" w:cs="Times"/>
          <w:b/>
          <w:i/>
          <w:iCs/>
          <w:color w:val="0BB3D0"/>
          <w:sz w:val="36"/>
          <w:szCs w:val="23"/>
          <w:u w:val="single"/>
        </w:rPr>
      </w:pPr>
      <w:r w:rsidRPr="00F71E59">
        <w:rPr>
          <w:rFonts w:ascii="Times" w:eastAsia="Times New Roman" w:hAnsi="Times" w:cs="Times"/>
          <w:b/>
          <w:i/>
          <w:iCs/>
          <w:color w:val="0BB3D0"/>
          <w:sz w:val="36"/>
          <w:szCs w:val="23"/>
          <w:u w:val="single"/>
        </w:rPr>
        <w:t>Book</w:t>
      </w:r>
    </w:p>
    <w:p w:rsidR="00F71E59" w:rsidRPr="00F71E59" w:rsidRDefault="00F71E59" w:rsidP="00F71E59">
      <w:pPr>
        <w:spacing w:before="90" w:after="0" w:line="324" w:lineRule="atLeast"/>
        <w:outlineLvl w:val="4"/>
        <w:rPr>
          <w:rFonts w:ascii="Times" w:eastAsia="Times New Roman" w:hAnsi="Times" w:cs="Times"/>
          <w:color w:val="000000"/>
          <w:sz w:val="23"/>
          <w:szCs w:val="23"/>
          <w:u w:val="single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  <w:u w:val="single"/>
        </w:rPr>
        <w:t>One author</w:t>
      </w:r>
    </w:p>
    <w:p w:rsidR="00F71E59" w:rsidRPr="00C07CF0" w:rsidRDefault="00F71E59" w:rsidP="00C07CF0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1. </w:t>
      </w:r>
      <w:proofErr w:type="spellStart"/>
      <w:r w:rsidRPr="00F71E59">
        <w:rPr>
          <w:rFonts w:ascii="Times" w:eastAsia="Times New Roman" w:hAnsi="Times" w:cs="Times"/>
          <w:color w:val="626F74"/>
          <w:sz w:val="21"/>
          <w:szCs w:val="21"/>
        </w:rPr>
        <w:t>Pollan</w:t>
      </w:r>
      <w:proofErr w:type="spellEnd"/>
      <w:r w:rsidRPr="00F71E59">
        <w:rPr>
          <w:rFonts w:ascii="Times" w:eastAsia="Times New Roman" w:hAnsi="Times" w:cs="Times"/>
          <w:color w:val="626F74"/>
          <w:sz w:val="21"/>
          <w:szCs w:val="21"/>
        </w:rPr>
        <w:t>,</w:t>
      </w:r>
      <w:r w:rsidR="00C07CF0">
        <w:rPr>
          <w:rFonts w:ascii="Times" w:eastAsia="Times New Roman" w:hAnsi="Times" w:cs="Times"/>
          <w:color w:val="626F74"/>
          <w:sz w:val="21"/>
          <w:szCs w:val="21"/>
        </w:rPr>
        <w:t xml:space="preserve"> </w:t>
      </w:r>
      <w:proofErr w:type="spellStart"/>
      <w:r w:rsidR="00C07CF0">
        <w:rPr>
          <w:rFonts w:ascii="Times" w:eastAsia="Times New Roman" w:hAnsi="Times" w:cs="Times"/>
          <w:color w:val="626F74"/>
          <w:sz w:val="21"/>
          <w:szCs w:val="21"/>
        </w:rPr>
        <w:t>Micheal</w:t>
      </w:r>
      <w:proofErr w:type="spellEnd"/>
      <w:r w:rsidR="00C07CF0">
        <w:rPr>
          <w:rFonts w:ascii="Times" w:eastAsia="Times New Roman" w:hAnsi="Times" w:cs="Times"/>
          <w:color w:val="626F74"/>
          <w:sz w:val="21"/>
          <w:szCs w:val="21"/>
        </w:rPr>
        <w:t>.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 </w:t>
      </w:r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>The Omnivore’s Dilemma: A Natural History of Four Meals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 (New York: Penguin, 2006), 99–100.</w:t>
      </w:r>
    </w:p>
    <w:p w:rsidR="00C07CF0" w:rsidRPr="00C07CF0" w:rsidRDefault="00C07CF0" w:rsidP="00C07CF0">
      <w:pPr>
        <w:spacing w:before="90" w:after="0" w:line="324" w:lineRule="atLeast"/>
        <w:outlineLvl w:val="4"/>
        <w:rPr>
          <w:rFonts w:ascii="Times" w:eastAsia="Times New Roman" w:hAnsi="Times" w:cs="Times"/>
          <w:color w:val="000000"/>
          <w:sz w:val="10"/>
          <w:szCs w:val="23"/>
          <w:u w:val="single"/>
        </w:rPr>
      </w:pPr>
    </w:p>
    <w:p w:rsidR="00F71E59" w:rsidRPr="00F71E59" w:rsidRDefault="00F71E59" w:rsidP="00C07CF0">
      <w:pPr>
        <w:spacing w:before="90" w:after="0" w:line="324" w:lineRule="atLeast"/>
        <w:outlineLvl w:val="4"/>
        <w:rPr>
          <w:rFonts w:ascii="Times" w:eastAsia="Times New Roman" w:hAnsi="Times" w:cs="Times"/>
          <w:color w:val="000000"/>
          <w:sz w:val="23"/>
          <w:szCs w:val="23"/>
          <w:u w:val="single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  <w:u w:val="single"/>
        </w:rPr>
        <w:t>Two or more authors</w:t>
      </w:r>
    </w:p>
    <w:p w:rsidR="00F71E59" w:rsidRPr="00F71E59" w:rsidRDefault="00F71E59" w:rsidP="00C07CF0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>1. Ward</w:t>
      </w:r>
      <w:r w:rsidR="00C07CF0">
        <w:rPr>
          <w:rFonts w:ascii="Times" w:eastAsia="Times New Roman" w:hAnsi="Times" w:cs="Times"/>
          <w:color w:val="626F74"/>
          <w:sz w:val="21"/>
          <w:szCs w:val="21"/>
        </w:rPr>
        <w:t>,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</w:t>
      </w:r>
      <w:r w:rsidR="00C07CF0"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Geoffrey C. 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and Burns</w:t>
      </w:r>
      <w:r w:rsidR="00392F1C">
        <w:rPr>
          <w:rFonts w:ascii="Times" w:eastAsia="Times New Roman" w:hAnsi="Times" w:cs="Times"/>
          <w:color w:val="626F74"/>
          <w:sz w:val="21"/>
          <w:szCs w:val="21"/>
        </w:rPr>
        <w:t>,</w:t>
      </w:r>
      <w:r w:rsidR="00C07CF0" w:rsidRPr="00C07CF0">
        <w:rPr>
          <w:rFonts w:ascii="Times" w:eastAsia="Times New Roman" w:hAnsi="Times" w:cs="Times"/>
          <w:color w:val="626F74"/>
          <w:sz w:val="21"/>
          <w:szCs w:val="21"/>
        </w:rPr>
        <w:t xml:space="preserve"> </w:t>
      </w:r>
      <w:r w:rsidR="00C07CF0" w:rsidRPr="00F71E59">
        <w:rPr>
          <w:rFonts w:ascii="Times" w:eastAsia="Times New Roman" w:hAnsi="Times" w:cs="Times"/>
          <w:color w:val="626F74"/>
          <w:sz w:val="21"/>
          <w:szCs w:val="21"/>
        </w:rPr>
        <w:t>Ken</w:t>
      </w:r>
      <w:r w:rsidR="00392F1C">
        <w:rPr>
          <w:rFonts w:ascii="Times" w:eastAsia="Times New Roman" w:hAnsi="Times" w:cs="Times"/>
          <w:color w:val="626F74"/>
          <w:sz w:val="21"/>
          <w:szCs w:val="21"/>
        </w:rPr>
        <w:t>.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 </w:t>
      </w:r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>The War: An Intimate History, 1941–1945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 (New York: Knopf, 2007), 52.</w:t>
      </w:r>
    </w:p>
    <w:p w:rsidR="00F71E59" w:rsidRDefault="00F71E59" w:rsidP="00C07CF0">
      <w:pPr>
        <w:spacing w:after="0" w:line="324" w:lineRule="atLeast"/>
        <w:rPr>
          <w:rFonts w:ascii="Times" w:eastAsia="Times New Roman" w:hAnsi="Times" w:cs="Times"/>
          <w:color w:val="000000"/>
          <w:sz w:val="23"/>
          <w:szCs w:val="23"/>
          <w:u w:val="single"/>
        </w:rPr>
      </w:pPr>
    </w:p>
    <w:p w:rsidR="00F71E59" w:rsidRPr="00F71E59" w:rsidRDefault="00F71E59" w:rsidP="00C07CF0">
      <w:pPr>
        <w:spacing w:after="0" w:line="324" w:lineRule="atLeast"/>
        <w:rPr>
          <w:rFonts w:ascii="Times" w:eastAsia="Times New Roman" w:hAnsi="Times" w:cs="Times"/>
          <w:color w:val="000000"/>
          <w:sz w:val="23"/>
          <w:szCs w:val="23"/>
          <w:u w:val="single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  <w:u w:val="single"/>
        </w:rPr>
        <w:t>For four or more authors, list all of the authors in the bibliography; in the note, list only the first author, followed by </w:t>
      </w:r>
      <w:r w:rsidRPr="00F71E59">
        <w:rPr>
          <w:rFonts w:ascii="Times" w:eastAsia="Times New Roman" w:hAnsi="Times" w:cs="Times"/>
          <w:i/>
          <w:iCs/>
          <w:color w:val="000000"/>
          <w:sz w:val="23"/>
          <w:szCs w:val="23"/>
          <w:u w:val="single"/>
        </w:rPr>
        <w:t>et al</w:t>
      </w:r>
      <w:r w:rsidRPr="00F71E59">
        <w:rPr>
          <w:rFonts w:ascii="Times" w:eastAsia="Times New Roman" w:hAnsi="Times" w:cs="Times"/>
          <w:color w:val="000000"/>
          <w:sz w:val="23"/>
          <w:szCs w:val="23"/>
          <w:u w:val="single"/>
        </w:rPr>
        <w:t>. (“and others”):</w:t>
      </w:r>
    </w:p>
    <w:p w:rsidR="00F71E59" w:rsidRPr="00F71E59" w:rsidRDefault="00F71E59" w:rsidP="00C07CF0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1. 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>Barnes</w:t>
      </w:r>
      <w:r w:rsidR="00392F1C">
        <w:rPr>
          <w:rFonts w:ascii="Times" w:eastAsia="Times New Roman" w:hAnsi="Times" w:cs="Times"/>
          <w:color w:val="626F74"/>
          <w:sz w:val="21"/>
          <w:szCs w:val="21"/>
        </w:rPr>
        <w:t>,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Dana et al., </w:t>
      </w:r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>Plastics: Essays on American Corporate Ascendance in the 1960s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 . . .</w:t>
      </w:r>
    </w:p>
    <w:p w:rsidR="00F71E59" w:rsidRPr="00C07CF0" w:rsidRDefault="00F71E59" w:rsidP="00C07CF0">
      <w:pPr>
        <w:spacing w:before="90" w:after="0" w:line="324" w:lineRule="atLeast"/>
        <w:outlineLvl w:val="4"/>
        <w:rPr>
          <w:rFonts w:ascii="Times" w:eastAsia="Times New Roman" w:hAnsi="Times" w:cs="Times"/>
          <w:color w:val="000000"/>
          <w:sz w:val="14"/>
          <w:szCs w:val="23"/>
          <w:u w:val="single"/>
        </w:rPr>
      </w:pPr>
    </w:p>
    <w:p w:rsidR="00F71E59" w:rsidRPr="00F71E59" w:rsidRDefault="00F71E59" w:rsidP="00F71E59">
      <w:pPr>
        <w:spacing w:before="90" w:after="0" w:line="324" w:lineRule="atLeast"/>
        <w:outlineLvl w:val="4"/>
        <w:rPr>
          <w:rFonts w:ascii="Times" w:eastAsia="Times New Roman" w:hAnsi="Times" w:cs="Times"/>
          <w:color w:val="000000"/>
          <w:sz w:val="23"/>
          <w:szCs w:val="23"/>
          <w:u w:val="single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  <w:u w:val="single"/>
        </w:rPr>
        <w:t>Editor, translator, or compiler instead of author</w:t>
      </w:r>
    </w:p>
    <w:p w:rsidR="00F71E59" w:rsidRPr="00F71E59" w:rsidRDefault="00F71E59" w:rsidP="00C07CF0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1. 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Lattimore, 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Richmond</w:t>
      </w:r>
      <w:r w:rsidR="00392F1C">
        <w:rPr>
          <w:rFonts w:ascii="Times" w:eastAsia="Times New Roman" w:hAnsi="Times" w:cs="Times"/>
          <w:color w:val="626F74"/>
          <w:sz w:val="21"/>
          <w:szCs w:val="21"/>
        </w:rPr>
        <w:t>.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trans., </w:t>
      </w:r>
      <w:proofErr w:type="gramStart"/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>The</w:t>
      </w:r>
      <w:proofErr w:type="gramEnd"/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 xml:space="preserve"> Iliad of Homer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 (Chicago: University of Chicago Press, 1951), 91–92.</w:t>
      </w:r>
    </w:p>
    <w:p w:rsidR="00F71E59" w:rsidRDefault="00F71E59" w:rsidP="00F71E59">
      <w:pPr>
        <w:spacing w:before="90" w:after="0" w:line="324" w:lineRule="atLeast"/>
        <w:outlineLvl w:val="4"/>
        <w:rPr>
          <w:rFonts w:ascii="Times" w:eastAsia="Times New Roman" w:hAnsi="Times" w:cs="Times"/>
          <w:color w:val="000000"/>
          <w:sz w:val="23"/>
          <w:szCs w:val="23"/>
        </w:rPr>
      </w:pPr>
    </w:p>
    <w:p w:rsidR="00F71E59" w:rsidRPr="00F71E59" w:rsidRDefault="00F71E59" w:rsidP="00F71E59">
      <w:pPr>
        <w:spacing w:before="90" w:after="0" w:line="324" w:lineRule="atLeast"/>
        <w:outlineLvl w:val="4"/>
        <w:rPr>
          <w:rFonts w:ascii="Times" w:eastAsia="Times New Roman" w:hAnsi="Times" w:cs="Times"/>
          <w:color w:val="000000"/>
          <w:sz w:val="23"/>
          <w:szCs w:val="23"/>
          <w:u w:val="single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  <w:u w:val="single"/>
        </w:rPr>
        <w:t>Chapter or other part of a book</w:t>
      </w:r>
    </w:p>
    <w:p w:rsidR="00F71E59" w:rsidRPr="00F71E59" w:rsidRDefault="00F71E59" w:rsidP="00F71E59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1. 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Kelly, 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John D. “Seeing Red: Mao Fetishism, </w:t>
      </w:r>
      <w:proofErr w:type="spellStart"/>
      <w:r w:rsidRPr="00F71E59">
        <w:rPr>
          <w:rFonts w:ascii="Times" w:eastAsia="Times New Roman" w:hAnsi="Times" w:cs="Times"/>
          <w:color w:val="626F74"/>
          <w:sz w:val="21"/>
          <w:szCs w:val="21"/>
        </w:rPr>
        <w:t>Pax</w:t>
      </w:r>
      <w:proofErr w:type="spellEnd"/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Americana, and the Moral Economy of War,” in </w:t>
      </w:r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>Anthropology and Global Counterinsurgency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, ed. John D. Kelly et al. (Chicago: University of Chicago Press, 2010), 77.</w:t>
      </w:r>
    </w:p>
    <w:p w:rsidR="00F71E59" w:rsidRDefault="00F71E59" w:rsidP="00F71E59">
      <w:pPr>
        <w:spacing w:before="90" w:after="0" w:line="324" w:lineRule="atLeast"/>
        <w:outlineLvl w:val="4"/>
        <w:rPr>
          <w:rFonts w:ascii="Times" w:eastAsia="Times New Roman" w:hAnsi="Times" w:cs="Times"/>
          <w:color w:val="000000"/>
          <w:sz w:val="23"/>
          <w:szCs w:val="23"/>
        </w:rPr>
      </w:pPr>
    </w:p>
    <w:p w:rsidR="00F71E59" w:rsidRPr="00F71E59" w:rsidRDefault="00F71E59" w:rsidP="00F71E59">
      <w:pPr>
        <w:spacing w:before="90" w:after="0" w:line="324" w:lineRule="atLeast"/>
        <w:outlineLvl w:val="3"/>
        <w:rPr>
          <w:rFonts w:ascii="Times" w:eastAsia="Times New Roman" w:hAnsi="Times" w:cs="Times"/>
          <w:b/>
          <w:i/>
          <w:iCs/>
          <w:color w:val="0BB3D0"/>
          <w:sz w:val="28"/>
          <w:szCs w:val="23"/>
          <w:u w:val="single"/>
        </w:rPr>
      </w:pPr>
      <w:r w:rsidRPr="00F71E59">
        <w:rPr>
          <w:rFonts w:ascii="Times" w:eastAsia="Times New Roman" w:hAnsi="Times" w:cs="Times"/>
          <w:b/>
          <w:i/>
          <w:iCs/>
          <w:color w:val="0BB3D0"/>
          <w:sz w:val="28"/>
          <w:szCs w:val="23"/>
          <w:u w:val="single"/>
        </w:rPr>
        <w:t>Journal article</w:t>
      </w:r>
    </w:p>
    <w:p w:rsidR="00F71E59" w:rsidRPr="00F71E59" w:rsidRDefault="00F71E59" w:rsidP="00F71E59">
      <w:pPr>
        <w:spacing w:before="90" w:after="0" w:line="324" w:lineRule="atLeast"/>
        <w:outlineLvl w:val="4"/>
        <w:rPr>
          <w:rFonts w:ascii="Times" w:eastAsia="Times New Roman" w:hAnsi="Times" w:cs="Times"/>
          <w:color w:val="000000"/>
          <w:sz w:val="23"/>
          <w:szCs w:val="23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</w:rPr>
        <w:t>Article in an online journal</w:t>
      </w:r>
    </w:p>
    <w:p w:rsidR="00F71E59" w:rsidRPr="00F71E59" w:rsidRDefault="00F71E59" w:rsidP="00F71E59">
      <w:pPr>
        <w:spacing w:after="240" w:line="324" w:lineRule="atLeast"/>
        <w:rPr>
          <w:rFonts w:ascii="Times" w:eastAsia="Times New Roman" w:hAnsi="Times" w:cs="Times"/>
          <w:color w:val="000000"/>
          <w:sz w:val="23"/>
          <w:szCs w:val="23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</w:rPr>
        <w:t>Include a DOI (Digital Object Identifier) if the journal lists one. A DOI is a permanent ID that, when appended to http://dx.doi.org/ in the address bar of an Internet browser, will lead to the source. If no DOI is available, list a URL. Include an access date only if one is required by your publisher or discipline.</w:t>
      </w:r>
    </w:p>
    <w:p w:rsidR="00F71E59" w:rsidRPr="00F71E59" w:rsidRDefault="00F71E59" w:rsidP="00F71E59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1. </w:t>
      </w:r>
      <w:proofErr w:type="spellStart"/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>Kossinets</w:t>
      </w:r>
      <w:proofErr w:type="spellEnd"/>
      <w:r w:rsidR="00392F1C">
        <w:rPr>
          <w:rFonts w:ascii="Times" w:eastAsia="Times New Roman" w:hAnsi="Times" w:cs="Times"/>
          <w:color w:val="626F74"/>
          <w:sz w:val="21"/>
          <w:szCs w:val="21"/>
        </w:rPr>
        <w:t>,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</w:t>
      </w:r>
      <w:proofErr w:type="spellStart"/>
      <w:r w:rsidRPr="00F71E59">
        <w:rPr>
          <w:rFonts w:ascii="Times" w:eastAsia="Times New Roman" w:hAnsi="Times" w:cs="Times"/>
          <w:color w:val="626F74"/>
          <w:sz w:val="21"/>
          <w:szCs w:val="21"/>
        </w:rPr>
        <w:t>Gueorgi</w:t>
      </w:r>
      <w:proofErr w:type="spellEnd"/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and 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Watts, 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Duncan J. “Origins of </w:t>
      </w:r>
      <w:proofErr w:type="spellStart"/>
      <w:r w:rsidRPr="00F71E59">
        <w:rPr>
          <w:rFonts w:ascii="Times" w:eastAsia="Times New Roman" w:hAnsi="Times" w:cs="Times"/>
          <w:color w:val="626F74"/>
          <w:sz w:val="21"/>
          <w:szCs w:val="21"/>
        </w:rPr>
        <w:t>Homophily</w:t>
      </w:r>
      <w:proofErr w:type="spellEnd"/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in an Evolving Social Network,” </w:t>
      </w:r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>American Journal of Sociology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 115 (2009): 411, accessed February 28, 2010, doi</w:t>
      </w:r>
      <w:proofErr w:type="gramStart"/>
      <w:r w:rsidRPr="00F71E59">
        <w:rPr>
          <w:rFonts w:ascii="Times" w:eastAsia="Times New Roman" w:hAnsi="Times" w:cs="Times"/>
          <w:color w:val="626F74"/>
          <w:sz w:val="21"/>
          <w:szCs w:val="21"/>
        </w:rPr>
        <w:t>:10.1086</w:t>
      </w:r>
      <w:proofErr w:type="gramEnd"/>
      <w:r w:rsidRPr="00F71E59">
        <w:rPr>
          <w:rFonts w:ascii="Times" w:eastAsia="Times New Roman" w:hAnsi="Times" w:cs="Times"/>
          <w:color w:val="626F74"/>
          <w:sz w:val="21"/>
          <w:szCs w:val="21"/>
        </w:rPr>
        <w:t>/599247.</w:t>
      </w:r>
    </w:p>
    <w:p w:rsidR="00C07CF0" w:rsidRDefault="00C07CF0" w:rsidP="00F71E59">
      <w:pPr>
        <w:spacing w:before="90" w:after="0" w:line="324" w:lineRule="atLeast"/>
        <w:outlineLvl w:val="3"/>
        <w:rPr>
          <w:rFonts w:ascii="Times" w:eastAsia="Times New Roman" w:hAnsi="Times" w:cs="Times"/>
          <w:color w:val="626F74"/>
          <w:sz w:val="21"/>
          <w:szCs w:val="21"/>
        </w:rPr>
      </w:pPr>
    </w:p>
    <w:p w:rsidR="00C07CF0" w:rsidRDefault="00C07CF0" w:rsidP="00F71E59">
      <w:pPr>
        <w:spacing w:before="90" w:after="0" w:line="324" w:lineRule="atLeast"/>
        <w:outlineLvl w:val="3"/>
        <w:rPr>
          <w:rFonts w:ascii="Times" w:eastAsia="Times New Roman" w:hAnsi="Times" w:cs="Times"/>
          <w:color w:val="626F74"/>
          <w:sz w:val="21"/>
          <w:szCs w:val="21"/>
        </w:rPr>
      </w:pPr>
    </w:p>
    <w:p w:rsidR="00F71E59" w:rsidRPr="00F71E59" w:rsidRDefault="00F71E59" w:rsidP="00F71E59">
      <w:pPr>
        <w:spacing w:before="90" w:after="0" w:line="324" w:lineRule="atLeast"/>
        <w:outlineLvl w:val="3"/>
        <w:rPr>
          <w:rFonts w:ascii="Times" w:eastAsia="Times New Roman" w:hAnsi="Times" w:cs="Times"/>
          <w:b/>
          <w:i/>
          <w:iCs/>
          <w:color w:val="0BB3D0"/>
          <w:sz w:val="28"/>
          <w:szCs w:val="23"/>
          <w:u w:val="single"/>
        </w:rPr>
      </w:pPr>
      <w:r w:rsidRPr="00F71E59">
        <w:rPr>
          <w:rFonts w:ascii="Times" w:eastAsia="Times New Roman" w:hAnsi="Times" w:cs="Times"/>
          <w:b/>
          <w:i/>
          <w:iCs/>
          <w:color w:val="0BB3D0"/>
          <w:sz w:val="28"/>
          <w:szCs w:val="23"/>
          <w:u w:val="single"/>
        </w:rPr>
        <w:t>Article in a newspaper or popular magazine</w:t>
      </w:r>
    </w:p>
    <w:p w:rsidR="00F71E59" w:rsidRPr="00F71E59" w:rsidRDefault="00F71E59" w:rsidP="00F71E59">
      <w:pPr>
        <w:spacing w:after="240" w:line="324" w:lineRule="atLeast"/>
        <w:rPr>
          <w:rFonts w:ascii="Times" w:eastAsia="Times New Roman" w:hAnsi="Times" w:cs="Times"/>
          <w:color w:val="000000"/>
          <w:sz w:val="23"/>
          <w:szCs w:val="23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</w:rPr>
        <w:t>Newspaper and magazine articles may be cited in running text (“As Sheryl Stolberg and Robert Pear noted in a </w:t>
      </w:r>
      <w:r w:rsidRPr="00F71E59">
        <w:rPr>
          <w:rFonts w:ascii="Times" w:eastAsia="Times New Roman" w:hAnsi="Times" w:cs="Times"/>
          <w:i/>
          <w:iCs/>
          <w:color w:val="000000"/>
          <w:sz w:val="23"/>
          <w:szCs w:val="23"/>
        </w:rPr>
        <w:t>New York Times</w:t>
      </w:r>
      <w:r w:rsidRPr="00F71E59">
        <w:rPr>
          <w:rFonts w:ascii="Times" w:eastAsia="Times New Roman" w:hAnsi="Times" w:cs="Times"/>
          <w:color w:val="000000"/>
          <w:sz w:val="23"/>
          <w:szCs w:val="23"/>
        </w:rPr>
        <w:t xml:space="preserve"> article on February 27, </w:t>
      </w:r>
      <w:proofErr w:type="gramStart"/>
      <w:r w:rsidRPr="00F71E59">
        <w:rPr>
          <w:rFonts w:ascii="Times" w:eastAsia="Times New Roman" w:hAnsi="Times" w:cs="Times"/>
          <w:color w:val="000000"/>
          <w:sz w:val="23"/>
          <w:szCs w:val="23"/>
        </w:rPr>
        <w:t>2010, . . .”</w:t>
      </w:r>
      <w:proofErr w:type="gramEnd"/>
      <w:r w:rsidRPr="00F71E59">
        <w:rPr>
          <w:rFonts w:ascii="Times" w:eastAsia="Times New Roman" w:hAnsi="Times" w:cs="Times"/>
          <w:color w:val="000000"/>
          <w:sz w:val="23"/>
          <w:szCs w:val="23"/>
        </w:rPr>
        <w:t>) instead of in a note, and they are commonly omitted from a bibliography. The following examples show the more formal versions of the citations. If you consulted the article online, include a URL; include an access date only if your publisher or discipline requires one. If no author is identified, begin the citation with the article title.</w:t>
      </w:r>
    </w:p>
    <w:p w:rsidR="00F71E59" w:rsidRPr="00F71E59" w:rsidRDefault="00F71E59" w:rsidP="00F71E59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1. 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>Mendelsohn</w:t>
      </w:r>
      <w:r w:rsidR="00392F1C">
        <w:rPr>
          <w:rFonts w:ascii="Times" w:eastAsia="Times New Roman" w:hAnsi="Times" w:cs="Times"/>
          <w:color w:val="626F74"/>
          <w:sz w:val="21"/>
          <w:szCs w:val="21"/>
        </w:rPr>
        <w:t>,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Daniel</w:t>
      </w:r>
      <w:r w:rsidR="00392F1C">
        <w:rPr>
          <w:rFonts w:ascii="Times" w:eastAsia="Times New Roman" w:hAnsi="Times" w:cs="Times"/>
          <w:color w:val="626F74"/>
          <w:sz w:val="21"/>
          <w:szCs w:val="21"/>
        </w:rPr>
        <w:t>.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“But Enough about Me,” </w:t>
      </w:r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>New Yorker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, January 25, 2010, 68.</w:t>
      </w:r>
    </w:p>
    <w:p w:rsidR="00F71E59" w:rsidRPr="00F71E59" w:rsidRDefault="00F71E59" w:rsidP="00F71E59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lastRenderedPageBreak/>
        <w:t xml:space="preserve">2. 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>Stolberg</w:t>
      </w:r>
      <w:r w:rsidR="00392F1C">
        <w:rPr>
          <w:rFonts w:ascii="Times" w:eastAsia="Times New Roman" w:hAnsi="Times" w:cs="Times"/>
          <w:color w:val="626F74"/>
          <w:sz w:val="21"/>
          <w:szCs w:val="21"/>
        </w:rPr>
        <w:t>,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Sheryl Gay and </w:t>
      </w:r>
      <w:r w:rsidR="00392F1C"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Pear, 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Robert</w:t>
      </w:r>
      <w:r w:rsidR="00392F1C">
        <w:rPr>
          <w:rFonts w:ascii="Times" w:eastAsia="Times New Roman" w:hAnsi="Times" w:cs="Times"/>
          <w:color w:val="626F74"/>
          <w:sz w:val="21"/>
          <w:szCs w:val="21"/>
        </w:rPr>
        <w:t>.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 xml:space="preserve"> “Wary Centrists Posing Challenge in Health Care Vote,” </w:t>
      </w:r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>New York Times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, February 27, 2010, accessed February 28, 2010, http://www.nytimes.com/2010/02/28/us/politics/28health.html.</w:t>
      </w:r>
    </w:p>
    <w:p w:rsidR="00C07CF0" w:rsidRDefault="00C07CF0" w:rsidP="00F71E59">
      <w:pPr>
        <w:spacing w:before="90" w:after="0" w:line="324" w:lineRule="atLeast"/>
        <w:outlineLvl w:val="3"/>
        <w:rPr>
          <w:rFonts w:ascii="Times" w:eastAsia="Times New Roman" w:hAnsi="Times" w:cs="Times"/>
          <w:i/>
          <w:iCs/>
          <w:color w:val="0BB3D0"/>
          <w:sz w:val="23"/>
          <w:szCs w:val="23"/>
        </w:rPr>
      </w:pPr>
    </w:p>
    <w:p w:rsidR="00C07CF0" w:rsidRDefault="00C07CF0" w:rsidP="00F71E59">
      <w:pPr>
        <w:spacing w:before="90" w:after="0" w:line="324" w:lineRule="atLeast"/>
        <w:outlineLvl w:val="3"/>
        <w:rPr>
          <w:rFonts w:ascii="Times" w:eastAsia="Times New Roman" w:hAnsi="Times" w:cs="Times"/>
          <w:i/>
          <w:iCs/>
          <w:color w:val="0BB3D0"/>
          <w:sz w:val="23"/>
          <w:szCs w:val="23"/>
        </w:rPr>
      </w:pPr>
    </w:p>
    <w:p w:rsidR="00F71E59" w:rsidRPr="00F71E59" w:rsidRDefault="00F71E59" w:rsidP="00F71E59">
      <w:pPr>
        <w:spacing w:before="90" w:after="0" w:line="324" w:lineRule="atLeast"/>
        <w:outlineLvl w:val="3"/>
        <w:rPr>
          <w:rFonts w:ascii="Times" w:eastAsia="Times New Roman" w:hAnsi="Times" w:cs="Times"/>
          <w:b/>
          <w:i/>
          <w:iCs/>
          <w:color w:val="0BB3D0"/>
          <w:sz w:val="36"/>
          <w:szCs w:val="23"/>
          <w:u w:val="single"/>
        </w:rPr>
      </w:pPr>
      <w:r w:rsidRPr="00F71E59">
        <w:rPr>
          <w:rFonts w:ascii="Times" w:eastAsia="Times New Roman" w:hAnsi="Times" w:cs="Times"/>
          <w:b/>
          <w:i/>
          <w:iCs/>
          <w:color w:val="0BB3D0"/>
          <w:sz w:val="36"/>
          <w:szCs w:val="23"/>
          <w:u w:val="single"/>
        </w:rPr>
        <w:t>Website</w:t>
      </w:r>
    </w:p>
    <w:p w:rsidR="00F71E59" w:rsidRPr="00F71E59" w:rsidRDefault="00F71E59" w:rsidP="00F71E59">
      <w:pPr>
        <w:spacing w:after="240" w:line="324" w:lineRule="atLeast"/>
        <w:rPr>
          <w:rFonts w:ascii="Times" w:eastAsia="Times New Roman" w:hAnsi="Times" w:cs="Times"/>
          <w:color w:val="000000"/>
          <w:sz w:val="23"/>
          <w:szCs w:val="23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</w:rPr>
        <w:t>A citation to website content can often be limited to a mention in the text or in a note (“As of July 19, 2008, the McDonald’s Corporation listed on its website . . .”). If a more formal citation is desired, it may be styled as in the examples below. Because such content is subject to change, include an access date or, if available, a date that the site was last modified.</w:t>
      </w:r>
    </w:p>
    <w:p w:rsidR="00F71E59" w:rsidRPr="00F71E59" w:rsidRDefault="00F71E59" w:rsidP="00F71E59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>1. “Google Privacy Policy,” last modified March 11, 2009, http://www.google.com/intl/en/privacypolicy.html.</w:t>
      </w:r>
    </w:p>
    <w:p w:rsidR="00F71E59" w:rsidRPr="00F71E59" w:rsidRDefault="00F71E59" w:rsidP="00F71E59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>2. “McDonald’s Happy Meal Toy Safety Facts,” McDonald’s Corporation, accessed July 19, 2008, http://www.mcdonalds.com/corp/about/factsheets.html.</w:t>
      </w:r>
    </w:p>
    <w:p w:rsidR="00C07CF0" w:rsidRDefault="00C07CF0" w:rsidP="00F71E59">
      <w:pPr>
        <w:spacing w:before="90" w:after="0" w:line="324" w:lineRule="atLeast"/>
        <w:outlineLvl w:val="3"/>
        <w:rPr>
          <w:rFonts w:ascii="Times" w:eastAsia="Times New Roman" w:hAnsi="Times" w:cs="Times"/>
          <w:color w:val="626F74"/>
          <w:sz w:val="21"/>
          <w:szCs w:val="21"/>
        </w:rPr>
      </w:pPr>
    </w:p>
    <w:p w:rsidR="00F71E59" w:rsidRPr="00F71E59" w:rsidRDefault="00F71E59" w:rsidP="00F71E59">
      <w:pPr>
        <w:spacing w:before="90" w:after="0" w:line="324" w:lineRule="atLeast"/>
        <w:outlineLvl w:val="3"/>
        <w:rPr>
          <w:rFonts w:ascii="Times" w:eastAsia="Times New Roman" w:hAnsi="Times" w:cs="Times"/>
          <w:b/>
          <w:i/>
          <w:iCs/>
          <w:color w:val="0BB3D0"/>
          <w:sz w:val="28"/>
          <w:szCs w:val="23"/>
          <w:u w:val="single"/>
        </w:rPr>
      </w:pPr>
      <w:r w:rsidRPr="00F71E59">
        <w:rPr>
          <w:rFonts w:ascii="Times" w:eastAsia="Times New Roman" w:hAnsi="Times" w:cs="Times"/>
          <w:b/>
          <w:i/>
          <w:iCs/>
          <w:color w:val="0BB3D0"/>
          <w:sz w:val="28"/>
          <w:szCs w:val="23"/>
          <w:u w:val="single"/>
        </w:rPr>
        <w:t>Blog entry or comment</w:t>
      </w:r>
    </w:p>
    <w:p w:rsidR="00F71E59" w:rsidRPr="00F71E59" w:rsidRDefault="00F71E59" w:rsidP="00F71E59">
      <w:pPr>
        <w:spacing w:after="240" w:line="324" w:lineRule="atLeast"/>
        <w:rPr>
          <w:rFonts w:ascii="Times" w:eastAsia="Times New Roman" w:hAnsi="Times" w:cs="Times"/>
          <w:color w:val="000000"/>
          <w:sz w:val="23"/>
          <w:szCs w:val="23"/>
        </w:rPr>
      </w:pPr>
      <w:r w:rsidRPr="00F71E59">
        <w:rPr>
          <w:rFonts w:ascii="Times" w:eastAsia="Times New Roman" w:hAnsi="Times" w:cs="Times"/>
          <w:color w:val="000000"/>
          <w:sz w:val="23"/>
          <w:szCs w:val="23"/>
        </w:rPr>
        <w:t>Blog entries or comments may be cited in running text (“In a comment posted to </w:t>
      </w:r>
      <w:r w:rsidRPr="00F71E59">
        <w:rPr>
          <w:rFonts w:ascii="Times" w:eastAsia="Times New Roman" w:hAnsi="Times" w:cs="Times"/>
          <w:i/>
          <w:iCs/>
          <w:color w:val="000000"/>
          <w:sz w:val="23"/>
          <w:szCs w:val="23"/>
        </w:rPr>
        <w:t>The Becker-Posner Blog</w:t>
      </w:r>
      <w:r w:rsidRPr="00F71E59">
        <w:rPr>
          <w:rFonts w:ascii="Times" w:eastAsia="Times New Roman" w:hAnsi="Times" w:cs="Times"/>
          <w:color w:val="000000"/>
          <w:sz w:val="23"/>
          <w:szCs w:val="23"/>
        </w:rPr>
        <w:t xml:space="preserve"> on February 23, </w:t>
      </w:r>
      <w:proofErr w:type="gramStart"/>
      <w:r w:rsidRPr="00F71E59">
        <w:rPr>
          <w:rFonts w:ascii="Times" w:eastAsia="Times New Roman" w:hAnsi="Times" w:cs="Times"/>
          <w:color w:val="000000"/>
          <w:sz w:val="23"/>
          <w:szCs w:val="23"/>
        </w:rPr>
        <w:t>2010, . . .”</w:t>
      </w:r>
      <w:proofErr w:type="gramEnd"/>
      <w:r w:rsidRPr="00F71E59">
        <w:rPr>
          <w:rFonts w:ascii="Times" w:eastAsia="Times New Roman" w:hAnsi="Times" w:cs="Times"/>
          <w:color w:val="000000"/>
          <w:sz w:val="23"/>
          <w:szCs w:val="23"/>
        </w:rPr>
        <w:t>) instead of in a note, and they are commonly omitted from a bibliography. The following examples show the more formal versions of the citations. There is no need to add </w:t>
      </w:r>
      <w:r w:rsidRPr="00F71E59">
        <w:rPr>
          <w:rFonts w:ascii="Times" w:eastAsia="Times New Roman" w:hAnsi="Times" w:cs="Times"/>
          <w:i/>
          <w:iCs/>
          <w:color w:val="000000"/>
          <w:sz w:val="23"/>
          <w:szCs w:val="23"/>
        </w:rPr>
        <w:t>pseud</w:t>
      </w:r>
      <w:r w:rsidRPr="00F71E59">
        <w:rPr>
          <w:rFonts w:ascii="Times" w:eastAsia="Times New Roman" w:hAnsi="Times" w:cs="Times"/>
          <w:color w:val="000000"/>
          <w:sz w:val="23"/>
          <w:szCs w:val="23"/>
        </w:rPr>
        <w:t>. after an apparently fictitious or informal name. (If an access date is required, add it before the URL; see examples elsewhere in this guide.)</w:t>
      </w:r>
    </w:p>
    <w:p w:rsidR="00F71E59" w:rsidRPr="00F71E59" w:rsidRDefault="00F71E59" w:rsidP="00F71E59">
      <w:pPr>
        <w:shd w:val="clear" w:color="auto" w:fill="FFFFFF"/>
        <w:spacing w:after="0" w:line="324" w:lineRule="atLeast"/>
        <w:ind w:firstLine="288"/>
        <w:rPr>
          <w:rFonts w:ascii="Times" w:eastAsia="Times New Roman" w:hAnsi="Times" w:cs="Times"/>
          <w:color w:val="626F74"/>
          <w:sz w:val="21"/>
          <w:szCs w:val="21"/>
        </w:rPr>
      </w:pPr>
      <w:r w:rsidRPr="00F71E59">
        <w:rPr>
          <w:rFonts w:ascii="Times" w:eastAsia="Times New Roman" w:hAnsi="Times" w:cs="Times"/>
          <w:color w:val="626F74"/>
          <w:sz w:val="21"/>
          <w:szCs w:val="21"/>
        </w:rPr>
        <w:t>1. Jack, February 25, 2010 (7:03 p.m.), comment on Richard Posner, “Double Exports in Five Years</w:t>
      </w:r>
      <w:proofErr w:type="gramStart"/>
      <w:r w:rsidRPr="00F71E59">
        <w:rPr>
          <w:rFonts w:ascii="Times" w:eastAsia="Times New Roman" w:hAnsi="Times" w:cs="Times"/>
          <w:color w:val="626F74"/>
          <w:sz w:val="21"/>
          <w:szCs w:val="21"/>
        </w:rPr>
        <w:t>?,</w:t>
      </w:r>
      <w:proofErr w:type="gramEnd"/>
      <w:r w:rsidRPr="00F71E59">
        <w:rPr>
          <w:rFonts w:ascii="Times" w:eastAsia="Times New Roman" w:hAnsi="Times" w:cs="Times"/>
          <w:color w:val="626F74"/>
          <w:sz w:val="21"/>
          <w:szCs w:val="21"/>
        </w:rPr>
        <w:t>” </w:t>
      </w:r>
      <w:r w:rsidRPr="00F71E59">
        <w:rPr>
          <w:rFonts w:ascii="Times" w:eastAsia="Times New Roman" w:hAnsi="Times" w:cs="Times"/>
          <w:i/>
          <w:iCs/>
          <w:color w:val="626F74"/>
          <w:sz w:val="21"/>
          <w:szCs w:val="21"/>
        </w:rPr>
        <w:t>The Becker-Posner Blog</w:t>
      </w:r>
      <w:r w:rsidRPr="00F71E59">
        <w:rPr>
          <w:rFonts w:ascii="Times" w:eastAsia="Times New Roman" w:hAnsi="Times" w:cs="Times"/>
          <w:color w:val="626F74"/>
          <w:sz w:val="21"/>
          <w:szCs w:val="21"/>
        </w:rPr>
        <w:t>, February 21, 2010, http://uchicagolaw.typepad.com/beckerposner/2010/02/double-exports-in-five-years-posner.html.</w:t>
      </w:r>
    </w:p>
    <w:p w:rsidR="00F71E59" w:rsidRPr="00F71E59" w:rsidRDefault="00F71E59" w:rsidP="00F71E59">
      <w:pPr>
        <w:spacing w:after="0" w:line="240" w:lineRule="auto"/>
        <w:rPr>
          <w:rFonts w:ascii="Times" w:eastAsia="Times New Roman" w:hAnsi="Times" w:cs="Times"/>
          <w:color w:val="FFFFFF"/>
          <w:sz w:val="27"/>
          <w:szCs w:val="27"/>
        </w:rPr>
      </w:pPr>
      <w:r w:rsidRPr="00F71E59">
        <w:rPr>
          <w:rFonts w:ascii="Times" w:eastAsia="Times New Roman" w:hAnsi="Times" w:cs="Times"/>
          <w:color w:val="FFFFFF"/>
          <w:sz w:val="27"/>
          <w:szCs w:val="27"/>
        </w:rPr>
        <w:t> </w:t>
      </w:r>
    </w:p>
    <w:p w:rsidR="002B4ABB" w:rsidRDefault="002B4ABB"/>
    <w:p w:rsidR="00392F1C" w:rsidRDefault="00392F1C"/>
    <w:p w:rsidR="00392F1C" w:rsidRDefault="00392F1C"/>
    <w:p w:rsidR="00392F1C" w:rsidRDefault="00392F1C">
      <w:pPr>
        <w:rPr>
          <w:b/>
          <w:sz w:val="36"/>
          <w:u w:val="single"/>
        </w:rPr>
      </w:pPr>
      <w:r w:rsidRPr="00392F1C">
        <w:rPr>
          <w:b/>
          <w:sz w:val="36"/>
          <w:u w:val="single"/>
        </w:rPr>
        <w:t>Endnotes/ foot notes:</w:t>
      </w:r>
    </w:p>
    <w:p w:rsidR="00392F1C" w:rsidRDefault="00392F1C" w:rsidP="00392F1C">
      <w:pPr>
        <w:pStyle w:val="level2"/>
        <w:numPr>
          <w:ilvl w:val="0"/>
          <w:numId w:val="1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Direct Quotations</w:t>
      </w:r>
    </w:p>
    <w:p w:rsidR="00392F1C" w:rsidRDefault="00392F1C" w:rsidP="00392F1C">
      <w:pPr>
        <w:pStyle w:val="level2"/>
        <w:numPr>
          <w:ilvl w:val="0"/>
          <w:numId w:val="1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 When you</w:t>
      </w:r>
      <w:r w:rsidRPr="00392F1C">
        <w:rPr>
          <w:color w:val="000000"/>
          <w:sz w:val="22"/>
          <w:szCs w:val="27"/>
        </w:rPr>
        <w:t xml:space="preserve"> par</w:t>
      </w:r>
      <w:r>
        <w:rPr>
          <w:color w:val="000000"/>
          <w:sz w:val="22"/>
          <w:szCs w:val="27"/>
        </w:rPr>
        <w:t>aphrase a source (their idea, your words)</w:t>
      </w:r>
    </w:p>
    <w:p w:rsidR="00392F1C" w:rsidRDefault="00392F1C" w:rsidP="00392F1C">
      <w:pPr>
        <w:pStyle w:val="level2"/>
        <w:numPr>
          <w:ilvl w:val="0"/>
          <w:numId w:val="1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Any Statistics</w:t>
      </w:r>
    </w:p>
    <w:p w:rsidR="00392F1C" w:rsidRPr="00392F1C" w:rsidRDefault="00392F1C" w:rsidP="00392F1C">
      <w:pPr>
        <w:pStyle w:val="level2"/>
        <w:numPr>
          <w:ilvl w:val="0"/>
          <w:numId w:val="1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Any information that may be debatable or that you only found in one source</w:t>
      </w:r>
    </w:p>
    <w:p w:rsidR="00392F1C" w:rsidRPr="00392F1C" w:rsidRDefault="00392F1C">
      <w:bookmarkStart w:id="0" w:name="_GoBack"/>
      <w:bookmarkEnd w:id="0"/>
    </w:p>
    <w:sectPr w:rsidR="00392F1C" w:rsidRPr="00392F1C" w:rsidSect="00F71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B4D"/>
    <w:multiLevelType w:val="hybridMultilevel"/>
    <w:tmpl w:val="4C76E11A"/>
    <w:lvl w:ilvl="0" w:tplc="BF209F1A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59"/>
    <w:rsid w:val="002B4ABB"/>
    <w:rsid w:val="00392F1C"/>
    <w:rsid w:val="00763F35"/>
    <w:rsid w:val="00C07CF0"/>
    <w:rsid w:val="00F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E0AAD-3328-415A-AAAD-D2C649B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2"/>
    <w:basedOn w:val="Normal"/>
    <w:rsid w:val="0039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2F1C"/>
  </w:style>
  <w:style w:type="paragraph" w:styleId="BalloonText">
    <w:name w:val="Balloon Text"/>
    <w:basedOn w:val="Normal"/>
    <w:link w:val="BalloonTextChar"/>
    <w:uiPriority w:val="99"/>
    <w:semiHidden/>
    <w:unhideWhenUsed/>
    <w:rsid w:val="0076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489">
          <w:marLeft w:val="2220"/>
          <w:marRight w:val="2145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144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2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0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5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90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84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02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16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084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75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57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0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12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55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47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21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46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74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975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39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29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61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71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89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91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6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63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0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16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77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75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74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74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86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46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496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97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56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07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8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53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1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83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368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91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007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967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5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61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71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78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49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7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8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8956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2016-10-26T01:07:00Z</cp:lastPrinted>
  <dcterms:created xsi:type="dcterms:W3CDTF">2016-10-26T00:22:00Z</dcterms:created>
  <dcterms:modified xsi:type="dcterms:W3CDTF">2016-10-26T01:10:00Z</dcterms:modified>
</cp:coreProperties>
</file>